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6A03B3" w:rsidRPr="00461FF1" w14:paraId="4FEF4F24" w14:textId="77777777" w:rsidTr="00FF757E"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70" w:type="dxa"/>
              <w:left w:w="330" w:type="dxa"/>
              <w:bottom w:w="60" w:type="dxa"/>
              <w:right w:w="330" w:type="dxa"/>
            </w:tcMar>
            <w:vAlign w:val="bottom"/>
            <w:hideMark/>
          </w:tcPr>
          <w:p w14:paraId="6ED3D716" w14:textId="77777777" w:rsidR="006A03B3" w:rsidRPr="00246766" w:rsidRDefault="006A03B3" w:rsidP="00FF757E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3F3F3F"/>
                <w:kern w:val="36"/>
                <w:sz w:val="44"/>
                <w:szCs w:val="44"/>
              </w:rPr>
            </w:pPr>
          </w:p>
        </w:tc>
      </w:tr>
      <w:tr w:rsidR="006A03B3" w:rsidRPr="00461FF1" w14:paraId="0A0575F9" w14:textId="77777777" w:rsidTr="00FF757E"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30" w:type="dxa"/>
              <w:bottom w:w="180" w:type="dxa"/>
              <w:right w:w="330" w:type="dxa"/>
            </w:tcMar>
            <w:vAlign w:val="bottom"/>
            <w:hideMark/>
          </w:tcPr>
          <w:p w14:paraId="2ABC0480" w14:textId="77777777" w:rsidR="006A03B3" w:rsidRPr="00C0071F" w:rsidRDefault="006A03B3" w:rsidP="00FF757E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3F3F3F"/>
                <w:kern w:val="36"/>
                <w:sz w:val="2"/>
                <w:szCs w:val="2"/>
              </w:rPr>
            </w:pPr>
          </w:p>
        </w:tc>
      </w:tr>
      <w:tr w:rsidR="006A03B3" w:rsidRPr="00461FF1" w14:paraId="46C630FE" w14:textId="77777777" w:rsidTr="0073409F"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942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5"/>
              <w:gridCol w:w="3885"/>
              <w:gridCol w:w="1500"/>
              <w:gridCol w:w="1800"/>
            </w:tblGrid>
            <w:tr w:rsidR="006A03B3" w:rsidRPr="00461FF1" w14:paraId="1B773F7B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E8B9246" w14:textId="77777777" w:rsidR="006A03B3" w:rsidRPr="00246766" w:rsidRDefault="006A03B3" w:rsidP="00FF757E">
                  <w:pPr>
                    <w:spacing w:after="0" w:line="240" w:lineRule="auto"/>
                    <w:outlineLvl w:val="1"/>
                    <w:rPr>
                      <w:rFonts w:eastAsia="Times New Roman" w:cs="Calibri"/>
                      <w:color w:val="262626"/>
                      <w:sz w:val="30"/>
                      <w:szCs w:val="3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Institute Information</w:t>
                  </w:r>
                </w:p>
              </w:tc>
            </w:tr>
            <w:tr w:rsidR="006A03B3" w:rsidRPr="00461FF1" w14:paraId="3BEDBE80" w14:textId="77777777" w:rsidTr="00FF757E">
              <w:trPr>
                <w:trHeight w:val="578"/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8CB001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Institute Name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ECE505D" w14:textId="35613D1B" w:rsidR="006A03B3" w:rsidRPr="00246766" w:rsidRDefault="005E1D9B" w:rsidP="00FF757E">
                  <w:pPr>
                    <w:shd w:val="clear" w:color="auto" w:fill="FFFFFF"/>
                    <w:spacing w:after="30" w:line="240" w:lineRule="auto"/>
                    <w:rPr>
                      <w:rFonts w:eastAsia="Times New Roman" w:cs="Calibri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sz w:val="20"/>
                      <w:szCs w:val="20"/>
                    </w:rPr>
                    <w:t>T</w:t>
                  </w:r>
                  <w:r w:rsidR="00EC2357">
                    <w:rPr>
                      <w:rFonts w:eastAsia="Times New Roman" w:cs="Calibri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sz w:val="20"/>
                      <w:szCs w:val="20"/>
                    </w:rPr>
                    <w:t>V AUSTRIA PERSONNEL CERTIFICATION AND TRAINING LTD. CO.</w:t>
                  </w:r>
                </w:p>
              </w:tc>
            </w:tr>
            <w:tr w:rsidR="006A03B3" w:rsidRPr="00461FF1" w14:paraId="0C0DCF15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AB20F9D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03B3" w:rsidRPr="00461FF1" w14:paraId="64A1CEBF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8CE1254" w14:textId="77777777" w:rsidR="006A03B3" w:rsidRPr="00246766" w:rsidRDefault="006A03B3" w:rsidP="00FF757E">
                  <w:pPr>
                    <w:spacing w:after="0" w:line="240" w:lineRule="auto"/>
                    <w:outlineLvl w:val="1"/>
                    <w:rPr>
                      <w:rFonts w:eastAsia="Times New Roman" w:cs="Calibri"/>
                      <w:color w:val="262626"/>
                      <w:sz w:val="30"/>
                      <w:szCs w:val="30"/>
                    </w:rPr>
                  </w:pP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Program Information</w:t>
                  </w:r>
                </w:p>
              </w:tc>
            </w:tr>
            <w:tr w:rsidR="006A03B3" w:rsidRPr="00461FF1" w14:paraId="278973C7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E85520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Program Title</w:t>
                  </w:r>
                </w:p>
              </w:tc>
              <w:tc>
                <w:tcPr>
                  <w:tcW w:w="3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0F54525" w14:textId="77777777" w:rsidR="006A03B3" w:rsidRDefault="00526D0C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NON-</w:t>
                  </w:r>
                  <w:r w:rsidR="005E1D9B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DESTRUCTIVE TESTING </w:t>
                  </w:r>
                </w:p>
                <w:p w14:paraId="4BA790F5" w14:textId="54A2AB8B" w:rsidR="00B91F6C" w:rsidRPr="00246766" w:rsidRDefault="00390946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M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Magnetic Particle</w:t>
                  </w:r>
                  <w:r w:rsidR="00D63D9D" w:rsidRP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Testing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Level </w:t>
                  </w:r>
                  <w:r w:rsidR="00B92080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8265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670E15D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Approval No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6382AF3C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3B3" w:rsidRPr="00461FF1" w14:paraId="4069447E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8265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5F2B711B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Approval Start Date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3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09F1484" w14:textId="77777777" w:rsidR="006A03B3" w:rsidRPr="00246766" w:rsidRDefault="006A03B3" w:rsidP="00FF757E">
                  <w:pPr>
                    <w:shd w:val="clear" w:color="auto" w:fill="FFFFFF"/>
                    <w:spacing w:after="30" w:line="240" w:lineRule="auto"/>
                    <w:rPr>
                      <w:rFonts w:eastAsia="Times New Roman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8265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11E2E186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Approval End Date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7F295CA" w14:textId="77777777" w:rsidR="006A03B3" w:rsidRPr="00246766" w:rsidRDefault="006A03B3" w:rsidP="00FF757E">
                  <w:pPr>
                    <w:shd w:val="clear" w:color="auto" w:fill="FFFFFF"/>
                    <w:spacing w:after="30" w:line="240" w:lineRule="auto"/>
                    <w:rPr>
                      <w:rFonts w:eastAsia="Times New Roman" w:cs="Calibri"/>
                      <w:sz w:val="20"/>
                      <w:szCs w:val="20"/>
                    </w:rPr>
                  </w:pPr>
                </w:p>
              </w:tc>
            </w:tr>
            <w:tr w:rsidR="006A03B3" w:rsidRPr="00461FF1" w14:paraId="2960E046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1757502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800063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 xml:space="preserve">Program 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Code and Field**(Choose from the list below)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216A266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008</w:t>
                  </w:r>
                </w:p>
              </w:tc>
            </w:tr>
            <w:tr w:rsidR="006A03B3" w:rsidRPr="00461FF1" w14:paraId="08792B72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0488A045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03B3" w:rsidRPr="00461FF1" w14:paraId="65EC6ABF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B84669E" w14:textId="77777777" w:rsidR="006A03B3" w:rsidRPr="00246766" w:rsidRDefault="006A03B3" w:rsidP="00FF757E">
                  <w:pPr>
                    <w:spacing w:after="0" w:line="240" w:lineRule="auto"/>
                    <w:jc w:val="center"/>
                    <w:outlineLvl w:val="2"/>
                    <w:rPr>
                      <w:rFonts w:eastAsia="Times New Roman" w:cs="Calibri"/>
                      <w:color w:val="3F3F3F"/>
                      <w:sz w:val="24"/>
                      <w:szCs w:val="24"/>
                    </w:rPr>
                  </w:pP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Item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16189B4" w14:textId="77777777" w:rsidR="006A03B3" w:rsidRPr="00246766" w:rsidRDefault="006A03B3" w:rsidP="00FF757E">
                  <w:pPr>
                    <w:spacing w:after="0" w:line="240" w:lineRule="auto"/>
                    <w:jc w:val="center"/>
                    <w:outlineLvl w:val="2"/>
                    <w:rPr>
                      <w:rFonts w:eastAsia="Times New Roman" w:cs="Calibri"/>
                      <w:color w:val="3F3F3F"/>
                      <w:sz w:val="24"/>
                      <w:szCs w:val="24"/>
                    </w:rPr>
                  </w:pP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Description</w:t>
                  </w:r>
                </w:p>
              </w:tc>
            </w:tr>
            <w:tr w:rsidR="006A03B3" w:rsidRPr="00461FF1" w14:paraId="156921AD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9C80F9B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Awarding Organization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4B0B8E91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3B3" w:rsidRPr="00461FF1" w14:paraId="20113854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D3DAAE2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Regulatory Authority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41D1936B" w14:textId="6A26A832" w:rsidR="006A03B3" w:rsidRPr="00246766" w:rsidRDefault="00866224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sz w:val="20"/>
                      <w:szCs w:val="20"/>
                    </w:rPr>
                    <w:t>T</w:t>
                  </w:r>
                  <w:r w:rsidR="00B91F6C">
                    <w:rPr>
                      <w:rFonts w:eastAsia="Times New Roman" w:cs="Calibri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sz w:val="20"/>
                      <w:szCs w:val="20"/>
                    </w:rPr>
                    <w:t>V AUSTRIA PERSONNEL CERTIFICATION AND TRAINING LTD. CO.</w:t>
                  </w:r>
                </w:p>
              </w:tc>
            </w:tr>
            <w:tr w:rsidR="006A03B3" w:rsidRPr="00461FF1" w14:paraId="43F32D1D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FAABACB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Qualification Type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63CCD423" w14:textId="77777777" w:rsidR="006A03B3" w:rsidRPr="00246766" w:rsidRDefault="00866224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Personnel Qualification</w:t>
                  </w:r>
                </w:p>
              </w:tc>
            </w:tr>
            <w:tr w:rsidR="006A03B3" w:rsidRPr="00461FF1" w14:paraId="2226F730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631688AD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Qualification Level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72863833" w14:textId="1B03C12B" w:rsidR="006A03B3" w:rsidRPr="00246766" w:rsidRDefault="00390946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M</w:t>
                  </w:r>
                  <w:r w:rsid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Magnetic Particle</w:t>
                  </w:r>
                  <w:r w:rsidR="00D63D9D" w:rsidRP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Testing</w:t>
                  </w:r>
                  <w:r w:rsid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Level </w:t>
                  </w:r>
                  <w:r w:rsidR="00B92080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3</w:t>
                  </w:r>
                  <w:r w:rsidR="002C7D61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in accordance with EN ISO 9712</w:t>
                  </w:r>
                </w:p>
              </w:tc>
            </w:tr>
            <w:tr w:rsidR="006A03B3" w:rsidRPr="00461FF1" w14:paraId="7838C26B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BE5AD4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4D1FB9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 xml:space="preserve">Program </w:t>
                  </w: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Summary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45344EA9" w14:textId="18A437AA" w:rsidR="00866224" w:rsidRPr="00866224" w:rsidRDefault="00390946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M</w:t>
                  </w:r>
                  <w:r w:rsid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Magnetic Particle</w:t>
                  </w:r>
                  <w:r w:rsidR="00D63D9D" w:rsidRP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Testing</w:t>
                  </w:r>
                  <w:r w:rsid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is NDT method. </w:t>
                  </w:r>
                  <w:r w:rsidR="00866224"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NDT is used across industries such as aerospace, oil and gas, nuclear, power generation, medical, rail and general manufacturing to name a few. It is a crucial aspect of quality control and ultimately health and safety.</w:t>
                  </w:r>
                </w:p>
                <w:p w14:paraId="02BA7E24" w14:textId="77777777" w:rsidR="00866224" w:rsidRPr="00866224" w:rsidRDefault="00866224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4785EF43" w14:textId="57DB6E0B" w:rsidR="006A03B3" w:rsidRPr="00866224" w:rsidRDefault="00866224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val="tr-TR"/>
                    </w:rPr>
                  </w:pP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Common or conventional methods include visual testing, penetrant testing, magnetic particle testing, radiographic testing and ultrasonic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, acoustic emission,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ToFD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, Phased Array </w:t>
                  </w: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testing and each have their advantages and disadvantages. With advancements in digital control and imaging, other techniques have been developed including phased array ultrasonic testi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ng, time of flight diffraction.</w:t>
                  </w:r>
                </w:p>
              </w:tc>
            </w:tr>
            <w:tr w:rsidR="006A03B3" w:rsidRPr="00461FF1" w14:paraId="4B9FD9F6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nil"/>
                    <w:bottom w:val="single" w:sz="8" w:space="0" w:color="D8D8D8"/>
                    <w:right w:val="nil"/>
                  </w:tcBorders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10D2F073" w14:textId="77777777" w:rsidR="006A03B3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  <w:p w14:paraId="69163D13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6EA0120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2C107CD7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6EED9420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7C792D74" w14:textId="123898C3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20493DDE" w14:textId="77777777" w:rsidR="005708A6" w:rsidRDefault="005708A6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B019CD2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72FE553D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60665EA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48774FD" w14:textId="22190CA2" w:rsidR="009028D7" w:rsidRPr="00246766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3B3" w:rsidRPr="00461FF1" w14:paraId="299314FD" w14:textId="77777777" w:rsidTr="00E127AA">
              <w:trPr>
                <w:trHeight w:val="11032"/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8" w:space="0" w:color="D8D8D8"/>
                    <w:left w:val="single" w:sz="8" w:space="0" w:color="D8D8D8"/>
                    <w:bottom w:val="single" w:sz="4" w:space="0" w:color="auto"/>
                    <w:right w:val="single" w:sz="8" w:space="0" w:color="D8D8D8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375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44"/>
                    <w:gridCol w:w="3543"/>
                    <w:gridCol w:w="3188"/>
                  </w:tblGrid>
                  <w:tr w:rsidR="006A03B3" w:rsidRPr="00461FF1" w14:paraId="4883F68D" w14:textId="77777777" w:rsidTr="001349EE">
                    <w:trPr>
                      <w:jc w:val="center"/>
                    </w:trPr>
                    <w:tc>
                      <w:tcPr>
                        <w:tcW w:w="26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p w14:paraId="4E799A38" w14:textId="77777777" w:rsidR="006A03B3" w:rsidRPr="00246766" w:rsidRDefault="006A03B3" w:rsidP="00FF757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eastAsia="Times New Roman" w:cs="Calibri"/>
                            <w:color w:val="3F3F3F"/>
                            <w:sz w:val="24"/>
                            <w:szCs w:val="24"/>
                          </w:rPr>
                        </w:pPr>
                        <w:r w:rsidRPr="00C0071F">
                          <w:rPr>
                            <w:rFonts w:eastAsia="Times New Roman" w:cs="Calibri"/>
                            <w:b/>
                            <w:bCs/>
                            <w:sz w:val="30"/>
                            <w:szCs w:val="30"/>
                          </w:rPr>
                          <w:lastRenderedPageBreak/>
                          <w:t>Learning Outcomes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2A1E26BE" w14:textId="77777777" w:rsidR="006A03B3" w:rsidRPr="00246766" w:rsidRDefault="006A03B3" w:rsidP="00FF757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eastAsia="Times New Roman" w:cs="Calibri"/>
                            <w:color w:val="3F3F3F"/>
                            <w:sz w:val="24"/>
                            <w:szCs w:val="24"/>
                          </w:rPr>
                        </w:pPr>
                        <w:bookmarkStart w:id="0" w:name="_Hlk45526407"/>
                        <w:r w:rsidRPr="00C0071F">
                          <w:rPr>
                            <w:rFonts w:eastAsia="Times New Roman" w:cs="Calibri"/>
                            <w:b/>
                            <w:bCs/>
                            <w:sz w:val="30"/>
                            <w:szCs w:val="30"/>
                          </w:rPr>
                          <w:t>Assessment Criteria</w:t>
                        </w:r>
                        <w:bookmarkEnd w:id="0"/>
                      </w:p>
                    </w:tc>
                    <w:tc>
                      <w:tcPr>
                        <w:tcW w:w="31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p w14:paraId="61C11D0A" w14:textId="77777777" w:rsidR="006A03B3" w:rsidRPr="00246766" w:rsidRDefault="006A03B3" w:rsidP="00FF757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eastAsia="Times New Roman" w:cs="Calibri"/>
                            <w:color w:val="3F3F3F"/>
                            <w:sz w:val="24"/>
                            <w:szCs w:val="24"/>
                          </w:rPr>
                        </w:pPr>
                        <w:bookmarkStart w:id="1" w:name="_Hlk45526463"/>
                        <w:r w:rsidRPr="00C0071F">
                          <w:rPr>
                            <w:rFonts w:eastAsia="Times New Roman" w:cs="Calibri"/>
                            <w:b/>
                            <w:bCs/>
                            <w:sz w:val="30"/>
                            <w:szCs w:val="30"/>
                          </w:rPr>
                          <w:t>Assessment Methods</w:t>
                        </w:r>
                        <w:bookmarkEnd w:id="1"/>
                      </w:p>
                    </w:tc>
                  </w:tr>
                  <w:tr w:rsidR="006A03B3" w:rsidRPr="00461FF1" w14:paraId="6C481AF0" w14:textId="77777777" w:rsidTr="001349EE">
                    <w:trPr>
                      <w:trHeight w:val="10102"/>
                      <w:jc w:val="center"/>
                    </w:trPr>
                    <w:tc>
                      <w:tcPr>
                        <w:tcW w:w="2644" w:type="dxa"/>
                        <w:tcBorders>
                          <w:top w:val="single" w:sz="4" w:space="0" w:color="auto"/>
                          <w:left w:val="single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09966AF9" w14:textId="77777777" w:rsidR="006A03B3" w:rsidRDefault="00866224" w:rsidP="008E7C3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Importance of NDT in quality assurance</w:t>
                        </w:r>
                      </w:p>
                      <w:p w14:paraId="6A928D93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proofErr w:type="spellStart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Concept</w:t>
                        </w:r>
                        <w:proofErr w:type="spellEnd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 xml:space="preserve"> of </w:t>
                        </w:r>
                        <w:proofErr w:type="spellStart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quality</w:t>
                        </w:r>
                        <w:proofErr w:type="spellEnd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 xml:space="preserve"> </w:t>
                        </w:r>
                        <w:proofErr w:type="spellStart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assurance</w:t>
                        </w:r>
                        <w:proofErr w:type="spellEnd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.</w:t>
                        </w:r>
                      </w:p>
                      <w:p w14:paraId="134E264F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proofErr w:type="spellStart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Importance</w:t>
                        </w:r>
                        <w:proofErr w:type="spellEnd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 xml:space="preserve"> of NDT</w:t>
                        </w:r>
                      </w:p>
                      <w:p w14:paraId="38205960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proofErr w:type="spellStart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Importance</w:t>
                        </w:r>
                        <w:proofErr w:type="spellEnd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 xml:space="preserve"> of test </w:t>
                        </w:r>
                        <w:proofErr w:type="spellStart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timing</w:t>
                        </w:r>
                        <w:proofErr w:type="spellEnd"/>
                      </w:p>
                      <w:p w14:paraId="4C1185F3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proofErr w:type="spellStart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Goals</w:t>
                        </w:r>
                        <w:proofErr w:type="spellEnd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 xml:space="preserve"> of NDT </w:t>
                        </w:r>
                        <w:proofErr w:type="spellStart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apllication</w:t>
                        </w:r>
                        <w:proofErr w:type="spellEnd"/>
                      </w:p>
                      <w:p w14:paraId="574C9F75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 xml:space="preserve">How do </w:t>
                        </w:r>
                        <w:proofErr w:type="spellStart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we</w:t>
                        </w:r>
                        <w:proofErr w:type="spellEnd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 xml:space="preserve"> </w:t>
                        </w:r>
                        <w:proofErr w:type="spellStart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make</w:t>
                        </w:r>
                        <w:proofErr w:type="spellEnd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 xml:space="preserve"> </w:t>
                        </w:r>
                        <w:proofErr w:type="spellStart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testing</w:t>
                        </w:r>
                        <w:proofErr w:type="spellEnd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 xml:space="preserve"> </w:t>
                        </w:r>
                        <w:proofErr w:type="spellStart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friendly</w:t>
                        </w:r>
                        <w:proofErr w:type="spellEnd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 xml:space="preserve"> </w:t>
                        </w:r>
                        <w:proofErr w:type="spellStart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design</w:t>
                        </w:r>
                        <w:proofErr w:type="spellEnd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?</w:t>
                        </w:r>
                      </w:p>
                      <w:p w14:paraId="318E1FB9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proofErr w:type="spellStart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Commonly</w:t>
                        </w:r>
                        <w:proofErr w:type="spellEnd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 xml:space="preserve"> </w:t>
                        </w:r>
                        <w:proofErr w:type="spellStart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used</w:t>
                        </w:r>
                        <w:proofErr w:type="spellEnd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 xml:space="preserve"> NDT </w:t>
                        </w:r>
                        <w:proofErr w:type="spellStart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methods</w:t>
                        </w:r>
                        <w:proofErr w:type="spellEnd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.</w:t>
                        </w:r>
                      </w:p>
                      <w:p w14:paraId="3463DC57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proofErr w:type="spellStart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Qualification</w:t>
                        </w:r>
                        <w:proofErr w:type="spellEnd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 xml:space="preserve"> </w:t>
                        </w:r>
                        <w:proofErr w:type="spellStart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and</w:t>
                        </w:r>
                        <w:proofErr w:type="spellEnd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 xml:space="preserve"> </w:t>
                        </w:r>
                        <w:proofErr w:type="spellStart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certification</w:t>
                        </w:r>
                        <w:proofErr w:type="spellEnd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 xml:space="preserve"> of NDT </w:t>
                        </w:r>
                        <w:proofErr w:type="spellStart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personnel</w:t>
                        </w:r>
                        <w:proofErr w:type="spellEnd"/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273A9A0D" w14:textId="47A9D470" w:rsidR="00562772" w:rsidRDefault="0052033A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The 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Assessment Criteria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for </w:t>
                        </w:r>
                        <w:r w:rsidR="00390946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Level </w:t>
                        </w:r>
                        <w:r w:rsidR="00B92080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is</w:t>
                        </w:r>
                        <w:r w:rsidR="00562772"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described below. </w:t>
                        </w:r>
                      </w:p>
                      <w:p w14:paraId="16042891" w14:textId="77777777" w:rsidR="00562772" w:rsidRDefault="00562772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D3A9530" w14:textId="372A0BBE" w:rsidR="009C370F" w:rsidRPr="009C370F" w:rsidRDefault="009C370F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The student will learn all the information about the </w:t>
                        </w:r>
                        <w:r w:rsidR="00390946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Method, whatever training he has completed. </w:t>
                        </w:r>
                      </w:p>
                      <w:p w14:paraId="4B7A4587" w14:textId="77777777" w:rsidR="009C370F" w:rsidRPr="009C370F" w:rsidRDefault="009C370F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608D12A" w14:textId="1910A7C7" w:rsidR="009C370F" w:rsidRPr="00246766" w:rsidRDefault="009C370F" w:rsidP="00E127AA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If it is successful in the exams to be held after each training; will have a new profession</w:t>
                        </w:r>
                        <w:r w:rsidR="0052033A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that </w:t>
                        </w:r>
                        <w:r w:rsidR="00390946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Magnetic Particle</w:t>
                        </w:r>
                        <w:r w:rsidR="0052033A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Test </w:t>
                        </w:r>
                        <w:r w:rsidR="00C43BA0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  <w:r w:rsidR="000252C5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upervisor</w:t>
                        </w: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, will have International NDT Personnel Certification according to EN ISO 9712 standard. He will find work opportunities both in his country and in the world with this certificate.</w:t>
                        </w:r>
                        <w:r w:rsidR="00E127AA" w:rsidRPr="00246766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sz="4" w:space="0" w:color="auto"/>
                          <w:left w:val="dotted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4EC3ACEE" w14:textId="2C1462FE" w:rsidR="0052033A" w:rsidRDefault="0052033A" w:rsidP="0052033A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The 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Assessment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Method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for </w:t>
                        </w:r>
                        <w:r w:rsidR="00390946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Level </w:t>
                        </w:r>
                        <w:r w:rsidR="00B92080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is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described below. </w:t>
                        </w:r>
                      </w:p>
                      <w:p w14:paraId="5062D3F7" w14:textId="1BFC66D5" w:rsidR="00562772" w:rsidRDefault="00562772" w:rsidP="00FF757E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06DDA1E1" w14:textId="20DB6D38" w:rsidR="00562772" w:rsidRDefault="00562772" w:rsidP="00562772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bookmarkStart w:id="2" w:name="_Hlk45524293"/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To be eligible for each learning outcome (LO)</w:t>
                        </w:r>
                        <w:r w:rsidRPr="004665C5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, the candidate shall obtain a minimum grade of 70 % in each part of the examination (</w:t>
                        </w:r>
                        <w:r w:rsidR="00B92080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theoretical</w:t>
                        </w:r>
                        <w:r w:rsidRPr="004665C5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). </w:t>
                        </w:r>
                        <w:bookmarkStart w:id="3" w:name="_GoBack"/>
                        <w:bookmarkEnd w:id="3"/>
                      </w:p>
                      <w:p w14:paraId="7F97D900" w14:textId="77777777" w:rsidR="00562772" w:rsidRDefault="00562772" w:rsidP="00562772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4B4D371C" w14:textId="182ED4C5" w:rsidR="006A03B3" w:rsidRPr="00246766" w:rsidRDefault="00562772" w:rsidP="00FF757E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Level </w:t>
                        </w:r>
                        <w:r w:rsidR="00533D4B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does include </w:t>
                        </w:r>
                        <w:r w:rsidR="00B92080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theoretical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examination</w:t>
                        </w:r>
                        <w:bookmarkEnd w:id="2"/>
                        <w:r w:rsidR="0052033A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BB4FA3" w:rsidRPr="00461FF1" w14:paraId="2EFB5FA6" w14:textId="77777777" w:rsidTr="001349EE">
                    <w:trPr>
                      <w:trHeight w:val="10588"/>
                      <w:jc w:val="center"/>
                    </w:trPr>
                    <w:tc>
                      <w:tcPr>
                        <w:tcW w:w="2644" w:type="dxa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253E6D5D" w14:textId="1051E141" w:rsidR="00BB4FA3" w:rsidRPr="00BB4FA3" w:rsidRDefault="00390946" w:rsidP="00BB4FA3">
                        <w:pPr>
                          <w:spacing w:after="0" w:line="240" w:lineRule="auto"/>
                          <w:rPr>
                            <w:rStyle w:val="Gl"/>
                            <w:rFonts w:ascii="Arial" w:hAnsi="Arial"/>
                          </w:rPr>
                        </w:pPr>
                        <w:r>
                          <w:rPr>
                            <w:rStyle w:val="Gl"/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lastRenderedPageBreak/>
                          <w:t>M</w:t>
                        </w:r>
                        <w:r>
                          <w:rPr>
                            <w:rStyle w:val="Gl"/>
                            <w:rFonts w:ascii="Arial" w:hAnsi="Arial"/>
                          </w:rPr>
                          <w:t>agnetic Particle</w:t>
                        </w:r>
                        <w:r w:rsidR="00D63D9D" w:rsidRPr="00D63D9D">
                          <w:rPr>
                            <w:rStyle w:val="Gl"/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t xml:space="preserve"> Testing </w:t>
                        </w:r>
                        <w:r>
                          <w:rPr>
                            <w:rStyle w:val="Gl"/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  <w:r w:rsidR="00D63D9D" w:rsidRPr="00D63D9D">
                          <w:rPr>
                            <w:rStyle w:val="Gl"/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  <w:p w14:paraId="7492BC4D" w14:textId="77777777" w:rsidR="00BB4FA3" w:rsidRDefault="00BB4FA3" w:rsidP="00BB4FA3">
                        <w:pPr>
                          <w:pStyle w:val="ListeParagraf"/>
                          <w:spacing w:after="0" w:line="240" w:lineRule="auto"/>
                          <w:ind w:left="228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</w:p>
                      <w:p w14:paraId="30ACD0A0" w14:textId="2C47B788" w:rsidR="00BB4FA3" w:rsidRPr="0073409F" w:rsidRDefault="00BB4FA3" w:rsidP="00BB4FA3">
                        <w:pPr>
                          <w:pStyle w:val="ListeParagraf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306" w:hanging="306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73409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On annex, </w:t>
                        </w:r>
                        <w:r w:rsidR="00390946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  <w:r w:rsidRPr="0073409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</w:t>
                        </w:r>
                        <w:r w:rsidR="00390946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Magnetic Particle</w:t>
                        </w:r>
                        <w:r w:rsidR="00D63D9D" w:rsidRPr="00D63D9D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D63D9D" w:rsidRPr="00D63D9D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Test</w:t>
                        </w:r>
                        <w:r w:rsidRPr="0073409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_Level</w:t>
                        </w:r>
                        <w:proofErr w:type="spellEnd"/>
                        <w:r w:rsidRPr="0073409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1, 2 and 3_Learning Outcomes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7ABD3B65" w14:textId="77777777" w:rsidR="00B92080" w:rsidRPr="001349EE" w:rsidRDefault="00B92080" w:rsidP="00B92080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At the end of this course Learners will:</w:t>
                        </w:r>
                      </w:p>
                      <w:p w14:paraId="489C7A4B" w14:textId="107A18FD" w:rsidR="00B92080" w:rsidRPr="001349EE" w:rsidRDefault="00B92080" w:rsidP="00B92080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An individual trained to Level </w:t>
                        </w:r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</w:p>
                      <w:p w14:paraId="360C589A" w14:textId="77777777" w:rsidR="00B92080" w:rsidRPr="001349EE" w:rsidRDefault="00B92080" w:rsidP="00B92080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12AFDF1E" w14:textId="77777777" w:rsidR="00B92080" w:rsidRPr="00A23438" w:rsidRDefault="00B92080" w:rsidP="00B92080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to perform and direct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 operations</w:t>
                        </w:r>
                      </w:p>
                      <w:p w14:paraId="000F4D35" w14:textId="77777777" w:rsidR="00B92080" w:rsidRPr="00A23438" w:rsidRDefault="00B92080" w:rsidP="00B92080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66118C6B" w14:textId="77777777" w:rsidR="00B92080" w:rsidRPr="00A23438" w:rsidRDefault="00B92080" w:rsidP="00B92080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a) be able to the competence to evaluate and interpret results in terms of existing standards, codes, and specifications;</w:t>
                        </w:r>
                      </w:p>
                      <w:p w14:paraId="4A44DE7B" w14:textId="77777777" w:rsidR="00B92080" w:rsidRPr="00A23438" w:rsidRDefault="00B92080" w:rsidP="00B92080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b) be able to sufficient practical knowledge of applicable materials, fabrication, process, and product technology to select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methods, establish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 techniques, and assist in establishing acceptance criteria where none are otherwise available;</w:t>
                        </w:r>
                      </w:p>
                      <w:p w14:paraId="4F17F497" w14:textId="77777777" w:rsidR="00B92080" w:rsidRPr="00A23438" w:rsidRDefault="00B92080" w:rsidP="00B92080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c) be able to general familiarity with other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 methods.</w:t>
                        </w:r>
                      </w:p>
                      <w:p w14:paraId="6AD37B88" w14:textId="27F4F08E" w:rsidR="00BB4FA3" w:rsidRPr="00DB4D94" w:rsidRDefault="00BB4FA3" w:rsidP="00CE2479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88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5A3DB4CB" w14:textId="77777777" w:rsidR="00B92080" w:rsidRDefault="00B92080" w:rsidP="00B92080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An individual trained to Level </w:t>
                        </w:r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,</w:t>
                        </w:r>
                      </w:p>
                      <w:p w14:paraId="0C4DB640" w14:textId="77777777" w:rsidR="00B92080" w:rsidRDefault="00B92080" w:rsidP="00B92080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1C557B4F" w14:textId="77777777" w:rsidR="00B92080" w:rsidRDefault="00B92080" w:rsidP="00B92080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perform the </w:t>
                        </w:r>
                        <w:r w:rsidRPr="00FF757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Magnetic Particle Testing</w:t>
                        </w:r>
                      </w:p>
                      <w:p w14:paraId="1668592C" w14:textId="77777777" w:rsidR="00B92080" w:rsidRDefault="00B92080" w:rsidP="00B92080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evaluate and interpret results</w:t>
                        </w:r>
                      </w:p>
                      <w:p w14:paraId="3C31ADCC" w14:textId="77777777" w:rsidR="00B92080" w:rsidRDefault="00B92080" w:rsidP="00B92080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sufficient practical knowledge of applicable materials, fabrication, process, and product technology</w:t>
                        </w:r>
                      </w:p>
                      <w:p w14:paraId="58E54985" w14:textId="77777777" w:rsidR="00B92080" w:rsidRDefault="00B92080" w:rsidP="00B92080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general familiarity with other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ND</w:t>
                        </w: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 methods</w:t>
                        </w:r>
                      </w:p>
                      <w:p w14:paraId="6F42480F" w14:textId="77777777" w:rsidR="00B92080" w:rsidRDefault="00B92080" w:rsidP="00B92080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assume full responsibility for a test facility or examination </w:t>
                        </w:r>
                        <w:proofErr w:type="spellStart"/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centre</w:t>
                        </w:r>
                        <w:proofErr w:type="spellEnd"/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and staff</w:t>
                        </w:r>
                      </w:p>
                      <w:p w14:paraId="5CD351FF" w14:textId="77777777" w:rsidR="00B92080" w:rsidRDefault="00B92080" w:rsidP="00B92080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establish, review for editorial and technical correctness, and validate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 instructions and procedures</w:t>
                        </w:r>
                      </w:p>
                      <w:p w14:paraId="31FD88DE" w14:textId="77777777" w:rsidR="00B92080" w:rsidRDefault="00B92080" w:rsidP="00B92080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interpret standards, codes, specifications, and procedures</w:t>
                        </w:r>
                      </w:p>
                      <w:p w14:paraId="66786F55" w14:textId="77777777" w:rsidR="00B92080" w:rsidRDefault="00B92080" w:rsidP="00B92080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designate the particular test methods, procedures, and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 instructions</w:t>
                        </w:r>
                      </w:p>
                      <w:p w14:paraId="3554030B" w14:textId="77777777" w:rsidR="00B92080" w:rsidRDefault="00B92080" w:rsidP="00B92080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carry out and supervise all tasks at all levels</w:t>
                        </w:r>
                      </w:p>
                      <w:p w14:paraId="73059DCD" w14:textId="77777777" w:rsidR="00B92080" w:rsidRDefault="00B92080" w:rsidP="00B92080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provide guidance for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 personnel at all levels</w:t>
                        </w:r>
                      </w:p>
                      <w:p w14:paraId="02E75476" w14:textId="77777777" w:rsidR="00BB4FA3" w:rsidRDefault="00BB4FA3" w:rsidP="00BB4FA3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F9FDE3F" w14:textId="77777777" w:rsidR="00BB4FA3" w:rsidRDefault="00BB4FA3" w:rsidP="00BB4FA3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DB4D94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Annex </w:t>
                        </w:r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Pr="00DB4D94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4E36FFAD" w14:textId="0E4100E2" w:rsidR="00BB4FA3" w:rsidRPr="00246766" w:rsidRDefault="00BB4FA3" w:rsidP="00BB4FA3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Written and practical examination for all methods and levels  </w:t>
                        </w:r>
                      </w:p>
                    </w:tc>
                  </w:tr>
                </w:tbl>
                <w:p w14:paraId="77483E83" w14:textId="77777777" w:rsidR="006A03B3" w:rsidRPr="00246766" w:rsidRDefault="006A03B3" w:rsidP="00FF75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409F" w:rsidRPr="00461FF1" w14:paraId="31A1F7AC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72AD7B5" w14:textId="44B0190C" w:rsidR="0073409F" w:rsidRPr="0073409F" w:rsidRDefault="0073409F" w:rsidP="00FF757E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409F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Training </w:t>
                  </w:r>
                </w:p>
              </w:tc>
            </w:tr>
            <w:tr w:rsidR="006A03B3" w:rsidRPr="00461FF1" w14:paraId="5A818448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DA74ED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Total Training Hours &amp; Days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tbl>
                  <w:tblPr>
                    <w:tblStyle w:val="TabloKlavuzu"/>
                    <w:tblW w:w="0" w:type="auto"/>
                    <w:tblInd w:w="817" w:type="dxa"/>
                    <w:tblLook w:val="04A0" w:firstRow="1" w:lastRow="0" w:firstColumn="1" w:lastColumn="0" w:noHBand="0" w:noVBand="1"/>
                  </w:tblPr>
                  <w:tblGrid>
                    <w:gridCol w:w="870"/>
                    <w:gridCol w:w="782"/>
                    <w:gridCol w:w="782"/>
                    <w:gridCol w:w="782"/>
                  </w:tblGrid>
                  <w:tr w:rsidR="00D63D9D" w:rsidRPr="00DC346F" w14:paraId="693DA507" w14:textId="77777777" w:rsidTr="000E34CA"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52FB71E7" w14:textId="77777777" w:rsidR="00D63D9D" w:rsidRPr="00B76D0B" w:rsidRDefault="00D63D9D" w:rsidP="00D63D9D">
                        <w:pPr>
                          <w:pStyle w:val="Default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proofErr w:type="spellStart"/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Method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134D8B47" w14:textId="77777777" w:rsidR="00D63D9D" w:rsidRPr="00B76D0B" w:rsidRDefault="00D63D9D" w:rsidP="00D63D9D">
                        <w:pPr>
                          <w:pStyle w:val="Default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Level 1</w:t>
                        </w:r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20E4ECE6" w14:textId="77777777" w:rsidR="00D63D9D" w:rsidRPr="00B76D0B" w:rsidRDefault="00D63D9D" w:rsidP="00D63D9D">
                        <w:pPr>
                          <w:pStyle w:val="Default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Level 2</w:t>
                        </w:r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0960FFAF" w14:textId="77777777" w:rsidR="00D63D9D" w:rsidRPr="00B76D0B" w:rsidRDefault="00D63D9D" w:rsidP="00D63D9D">
                        <w:pPr>
                          <w:rPr>
                            <w:rFonts w:asciiTheme="minorHAnsi" w:hAnsiTheme="minorHAnsi" w:cs="Calibri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lang w:eastAsia="en-GB"/>
                          </w:rPr>
                          <w:t>Level 3</w:t>
                        </w:r>
                      </w:p>
                    </w:tc>
                  </w:tr>
                  <w:tr w:rsidR="00390946" w:rsidRPr="00DC346F" w14:paraId="551974BC" w14:textId="77777777" w:rsidTr="000E34CA">
                    <w:tc>
                      <w:tcPr>
                        <w:tcW w:w="0" w:type="auto"/>
                        <w:vAlign w:val="center"/>
                      </w:tcPr>
                      <w:p w14:paraId="7CF0F02E" w14:textId="7407014B" w:rsidR="00390946" w:rsidRPr="00B76D0B" w:rsidRDefault="00390946" w:rsidP="00390946">
                        <w:pPr>
                          <w:pStyle w:val="Default"/>
                          <w:jc w:val="center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M</w:t>
                        </w: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23B1177" w14:textId="71DE8371" w:rsidR="00390946" w:rsidRPr="00B76D0B" w:rsidRDefault="00390946" w:rsidP="00390946">
                        <w:pPr>
                          <w:pStyle w:val="Default"/>
                          <w:jc w:val="center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16 h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F19ECB3" w14:textId="4E8963A4" w:rsidR="00390946" w:rsidRPr="00B76D0B" w:rsidRDefault="00390946" w:rsidP="00390946">
                        <w:pPr>
                          <w:pStyle w:val="Default"/>
                          <w:jc w:val="center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24 h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509A9380" w14:textId="7AA85F20" w:rsidR="00390946" w:rsidRPr="00B76D0B" w:rsidRDefault="00390946" w:rsidP="00390946">
                        <w:pPr>
                          <w:jc w:val="center"/>
                          <w:rPr>
                            <w:rFonts w:asciiTheme="minorHAnsi" w:hAnsiTheme="minorHAnsi" w:cs="Calibri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lang w:eastAsia="en-GB"/>
                          </w:rPr>
                          <w:t>32 h</w:t>
                        </w:r>
                      </w:p>
                    </w:tc>
                  </w:tr>
                </w:tbl>
                <w:p w14:paraId="13771586" w14:textId="1D18C64D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3B3" w:rsidRPr="00461FF1" w14:paraId="292DEF38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5BC9D6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Fees per training hour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1FEEDA00" w14:textId="77777777" w:rsidR="006A03B3" w:rsidRPr="00246766" w:rsidRDefault="00426A19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See annex 1 for training fees</w:t>
                  </w:r>
                </w:p>
              </w:tc>
            </w:tr>
            <w:tr w:rsidR="006A03B3" w:rsidRPr="00461FF1" w14:paraId="07A8C159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623EFA2E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Recommended Entry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5109173" w14:textId="77777777" w:rsidR="006A03B3" w:rsidRPr="00246766" w:rsidRDefault="00426A19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Training hours are minimum mandatory training hours. </w:t>
                  </w:r>
                  <w:r w:rsidR="005E1D9B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Reductions are possible </w:t>
                  </w:r>
                  <w:r w:rsid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in line with ISO 9712, item 7.2.5.</w:t>
                  </w:r>
                </w:p>
              </w:tc>
            </w:tr>
            <w:tr w:rsidR="006A03B3" w:rsidRPr="00461FF1" w14:paraId="497A766B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00E1B4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Who should attend or potential job occupation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6838F8C9" w14:textId="77777777" w:rsidR="006A03B3" w:rsidRDefault="00866224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Suitable for NDT personnel, inspectors and technicians, NDT courses offer a wealth of knowledge if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individual </w:t>
                  </w: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involved with or responsible for the inspection of castings, forgings and welds in manufacturing or in-service testi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ng across all industry sectors.</w:t>
                  </w:r>
                </w:p>
                <w:p w14:paraId="6CAD253D" w14:textId="77777777" w:rsidR="00452828" w:rsidRPr="00246766" w:rsidRDefault="00452828" w:rsidP="0045282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There is no limitation for candidates to join the program but education level may allow to reduction on training hours. </w:t>
                  </w:r>
                </w:p>
              </w:tc>
            </w:tr>
            <w:tr w:rsidR="006A03B3" w:rsidRPr="00461FF1" w14:paraId="0C593E9C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A1DB80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Topics / Content outline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612966CA" w14:textId="211B3734" w:rsidR="006A03B3" w:rsidRPr="00246766" w:rsidRDefault="00D17B7F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Generally,</w:t>
                  </w:r>
                  <w:r w:rsidR="00851CD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eight</w:t>
                  </w:r>
                  <w:r w:rsidR="00851CD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NDT methods. Detailed content will </w:t>
                  </w:r>
                  <w:r w:rsidR="00452828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b</w:t>
                  </w:r>
                  <w:r w:rsidR="00851CD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e shared upon request for each NDT method. </w:t>
                  </w:r>
                </w:p>
              </w:tc>
            </w:tr>
            <w:tr w:rsidR="006A03B3" w:rsidRPr="00461FF1" w14:paraId="2E6354C2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56C3976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Learning and Training Strategies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8931A43" w14:textId="77777777" w:rsidR="006A03B3" w:rsidRPr="00246766" w:rsidRDefault="00851CDC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Theoretical and practical training is provided during each method.</w:t>
                  </w:r>
                </w:p>
              </w:tc>
            </w:tr>
            <w:tr w:rsidR="006A03B3" w:rsidRPr="00461FF1" w14:paraId="4AB1E6A5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3B756D7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Health and Safety Consideration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1B8B5112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Basic HSE should be taken during trainings. Hazardousness is depends to methods.</w:t>
                  </w:r>
                </w:p>
              </w:tc>
            </w:tr>
            <w:tr w:rsidR="006A03B3" w:rsidRPr="00461FF1" w14:paraId="34E78FCE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5EA303E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Feasibility study for the program if available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4498E5F" w14:textId="77777777" w:rsidR="006A03B3" w:rsidRPr="00246766" w:rsidRDefault="00452828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Not available.</w:t>
                  </w:r>
                </w:p>
              </w:tc>
            </w:tr>
            <w:tr w:rsidR="006A03B3" w:rsidRPr="00461FF1" w14:paraId="3AF48C1B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2849BA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Linked Program if available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453B932" w14:textId="35E86C80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Training centers are allowed to determine their own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programme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upon approval of T</w:t>
                  </w:r>
                  <w:r w:rsidR="0073409F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V AUSTRIA </w:t>
                  </w:r>
                </w:p>
              </w:tc>
            </w:tr>
            <w:tr w:rsidR="006A03B3" w:rsidRPr="00461FF1" w14:paraId="275C0230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52AFB296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Refund policy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396308F9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Non-refundable</w:t>
                  </w:r>
                </w:p>
              </w:tc>
            </w:tr>
            <w:tr w:rsidR="006A03B3" w:rsidRPr="00461FF1" w14:paraId="68D19B7D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0FCCBB17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Complaint and Appeal Policy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3C32180E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See Annex 2</w:t>
                  </w:r>
                </w:p>
              </w:tc>
            </w:tr>
            <w:tr w:rsidR="006A03B3" w:rsidRPr="00461FF1" w14:paraId="05BD3077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C46F269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Quality Assurance for the program / organization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58CE847A" w14:textId="578C2DB0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V AUSTRIA has EN ISO/IEC 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17024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accreditation certificate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of </w:t>
                  </w:r>
                  <w:r w:rsidR="00B91F6C" w:rsidRP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certification of persons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to provide exams for NDT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methods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. It is a</w:t>
                  </w:r>
                  <w:r w:rsidR="00DB4D9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assurance for the training and examination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programme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6A03B3" w:rsidRPr="00461FF1" w14:paraId="619BA992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5F8E72C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Training Staff to deliver the program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78C967AF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Training staff should be provided by authorized training body.</w:t>
                  </w:r>
                </w:p>
              </w:tc>
            </w:tr>
          </w:tbl>
          <w:p w14:paraId="440C82C7" w14:textId="4E640C4D" w:rsidR="00B76D0B" w:rsidRDefault="006A03B3" w:rsidP="00FF75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46766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  <w:p w14:paraId="2BC52FC4" w14:textId="45F17B6A" w:rsidR="005708A6" w:rsidRPr="00246766" w:rsidRDefault="005708A6" w:rsidP="00FF75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73409F" w:rsidRPr="0073409F" w14:paraId="343C9A3A" w14:textId="77777777" w:rsidTr="00FF05C7"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0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0A5FC" w14:textId="271B1751" w:rsidR="0073409F" w:rsidRPr="0073409F" w:rsidRDefault="0073409F" w:rsidP="00FF757E">
            <w:pPr>
              <w:spacing w:after="0" w:line="240" w:lineRule="auto"/>
              <w:outlineLvl w:val="1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73409F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lastRenderedPageBreak/>
              <w:t>Examination</w:t>
            </w:r>
          </w:p>
        </w:tc>
      </w:tr>
      <w:tr w:rsidR="0073409F" w:rsidRPr="0073409F" w14:paraId="5B30553F" w14:textId="77777777" w:rsidTr="0073409F"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F1B8B" w14:textId="58E51007" w:rsidR="0073409F" w:rsidRPr="0073409F" w:rsidRDefault="00DB4D94" w:rsidP="00FF757E">
            <w:pPr>
              <w:spacing w:after="0" w:line="240" w:lineRule="auto"/>
              <w:outlineLvl w:val="1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B4D94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Annex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14:paraId="3C52625B" w14:textId="77777777" w:rsidR="006A03B3" w:rsidRPr="00D92A37" w:rsidRDefault="006A03B3" w:rsidP="006A03B3">
      <w:pPr>
        <w:spacing w:after="0"/>
        <w:rPr>
          <w:vanish/>
        </w:rPr>
      </w:pPr>
    </w:p>
    <w:tbl>
      <w:tblPr>
        <w:tblpPr w:leftFromText="180" w:rightFromText="180" w:vertAnchor="text" w:horzAnchor="margin" w:tblpY="179"/>
        <w:bidiVisual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0"/>
      </w:tblGrid>
      <w:tr w:rsidR="006A03B3" w:rsidRPr="001C224C" w14:paraId="2DE9369E" w14:textId="77777777" w:rsidTr="00FF757E">
        <w:tc>
          <w:tcPr>
            <w:tcW w:w="9090" w:type="dxa"/>
          </w:tcPr>
          <w:p w14:paraId="3F940DFB" w14:textId="55F0CE21" w:rsidR="006A03B3" w:rsidRPr="00535C21" w:rsidRDefault="006A03B3" w:rsidP="00FF75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35C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*For Official Use (This Box Should not be Fill to Avoid any</w:t>
            </w:r>
            <w:r w:rsidR="00B91F6C" w:rsidRPr="00535C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535C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Delay in the Process)</w:t>
            </w:r>
          </w:p>
        </w:tc>
      </w:tr>
      <w:tr w:rsidR="006A03B3" w:rsidRPr="001C224C" w14:paraId="0F269F88" w14:textId="77777777" w:rsidTr="00FF757E">
        <w:trPr>
          <w:trHeight w:val="1415"/>
        </w:trPr>
        <w:tc>
          <w:tcPr>
            <w:tcW w:w="9090" w:type="dxa"/>
          </w:tcPr>
          <w:p w14:paraId="66E11C78" w14:textId="77777777" w:rsidR="006A03B3" w:rsidRPr="00535C21" w:rsidRDefault="006A03B3" w:rsidP="00FF75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35C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**Training Code &amp; Field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62"/>
              <w:gridCol w:w="4012"/>
            </w:tblGrid>
            <w:tr w:rsidR="006A03B3" w:rsidRPr="00535C21" w14:paraId="4910F611" w14:textId="77777777" w:rsidTr="00FF757E">
              <w:tc>
                <w:tcPr>
                  <w:tcW w:w="5040" w:type="dxa"/>
                  <w:shd w:val="clear" w:color="auto" w:fill="auto"/>
                </w:tcPr>
                <w:p w14:paraId="650E15F6" w14:textId="77777777" w:rsidR="006A03B3" w:rsidRPr="00535C21" w:rsidRDefault="006A03B3" w:rsidP="000D1F39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001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Occupational Health &amp; Safety</w:t>
                  </w:r>
                </w:p>
              </w:tc>
              <w:tc>
                <w:tcPr>
                  <w:tcW w:w="4158" w:type="dxa"/>
                  <w:shd w:val="clear" w:color="auto" w:fill="auto"/>
                </w:tcPr>
                <w:p w14:paraId="686D6D8F" w14:textId="77777777" w:rsidR="006A03B3" w:rsidRPr="00535C21" w:rsidRDefault="006A03B3" w:rsidP="000D1F39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002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Commercial and Administrative</w:t>
                  </w:r>
                </w:p>
              </w:tc>
            </w:tr>
            <w:tr w:rsidR="006A03B3" w:rsidRPr="00535C21" w14:paraId="1214CA24" w14:textId="77777777" w:rsidTr="00FF757E">
              <w:tc>
                <w:tcPr>
                  <w:tcW w:w="5040" w:type="dxa"/>
                  <w:shd w:val="clear" w:color="auto" w:fill="auto"/>
                </w:tcPr>
                <w:p w14:paraId="2ABCD254" w14:textId="77777777" w:rsidR="006A03B3" w:rsidRPr="00535C21" w:rsidRDefault="006A03B3" w:rsidP="000D1F39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003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Information Technology</w:t>
                  </w:r>
                </w:p>
                <w:p w14:paraId="28DDA66D" w14:textId="77777777" w:rsidR="006A03B3" w:rsidRPr="00535C21" w:rsidRDefault="006A03B3" w:rsidP="000D1F39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005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Travel and Tourism Catering and Hospitality</w:t>
                  </w:r>
                </w:p>
                <w:p w14:paraId="5A466921" w14:textId="77777777" w:rsidR="006A03B3" w:rsidRPr="00535C21" w:rsidRDefault="006A03B3" w:rsidP="000D1F39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007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Communication Skills and Languages</w:t>
                  </w:r>
                </w:p>
              </w:tc>
              <w:tc>
                <w:tcPr>
                  <w:tcW w:w="4158" w:type="dxa"/>
                  <w:shd w:val="clear" w:color="auto" w:fill="auto"/>
                </w:tcPr>
                <w:p w14:paraId="5A3C0668" w14:textId="77777777" w:rsidR="006A03B3" w:rsidRPr="00535C21" w:rsidRDefault="006A03B3" w:rsidP="000D1F39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004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Engineering</w:t>
                  </w:r>
                </w:p>
                <w:p w14:paraId="4BCEA171" w14:textId="77777777" w:rsidR="006A03B3" w:rsidRPr="00535C21" w:rsidRDefault="006A03B3" w:rsidP="000D1F39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006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Beautician Programs</w:t>
                  </w:r>
                </w:p>
                <w:p w14:paraId="511447D6" w14:textId="77777777" w:rsidR="006A03B3" w:rsidRPr="00535C21" w:rsidRDefault="006A03B3" w:rsidP="000D1F39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008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Others</w:t>
                  </w:r>
                </w:p>
              </w:tc>
            </w:tr>
            <w:tr w:rsidR="006A03B3" w:rsidRPr="00535C21" w14:paraId="34D5F96F" w14:textId="77777777" w:rsidTr="00FF757E">
              <w:tc>
                <w:tcPr>
                  <w:tcW w:w="5040" w:type="dxa"/>
                  <w:shd w:val="clear" w:color="auto" w:fill="auto"/>
                </w:tcPr>
                <w:p w14:paraId="429B820C" w14:textId="77777777" w:rsidR="006A03B3" w:rsidRPr="00535C21" w:rsidRDefault="006A03B3" w:rsidP="000D1F39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58" w:type="dxa"/>
                  <w:shd w:val="clear" w:color="auto" w:fill="auto"/>
                </w:tcPr>
                <w:p w14:paraId="62D8DE53" w14:textId="77777777" w:rsidR="006A03B3" w:rsidRPr="00535C21" w:rsidRDefault="006A03B3" w:rsidP="000D1F39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0FCEE4A7" w14:textId="77777777" w:rsidR="006A03B3" w:rsidRPr="00535C21" w:rsidRDefault="006A03B3" w:rsidP="00FF757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rtl/>
              </w:rPr>
            </w:pPr>
          </w:p>
        </w:tc>
      </w:tr>
    </w:tbl>
    <w:p w14:paraId="57C2D51C" w14:textId="77777777" w:rsidR="006A03B3" w:rsidRPr="00246766" w:rsidRDefault="006A03B3" w:rsidP="006A03B3">
      <w:pPr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</w:p>
    <w:sectPr w:rsidR="006A03B3" w:rsidRPr="0024676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2ABE8" w14:textId="77777777" w:rsidR="007A24EE" w:rsidRDefault="007A24EE" w:rsidP="006A03B3">
      <w:pPr>
        <w:spacing w:after="0" w:line="240" w:lineRule="auto"/>
      </w:pPr>
      <w:r>
        <w:separator/>
      </w:r>
    </w:p>
  </w:endnote>
  <w:endnote w:type="continuationSeparator" w:id="0">
    <w:p w14:paraId="478AC6BB" w14:textId="77777777" w:rsidR="007A24EE" w:rsidRDefault="007A24EE" w:rsidP="006A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25D69" w14:textId="77777777" w:rsidR="007A24EE" w:rsidRDefault="007A24EE" w:rsidP="006A03B3">
      <w:pPr>
        <w:spacing w:after="0" w:line="240" w:lineRule="auto"/>
      </w:pPr>
      <w:r>
        <w:separator/>
      </w:r>
    </w:p>
  </w:footnote>
  <w:footnote w:type="continuationSeparator" w:id="0">
    <w:p w14:paraId="3594EAD0" w14:textId="77777777" w:rsidR="007A24EE" w:rsidRDefault="007A24EE" w:rsidP="006A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BC676" w14:textId="77777777" w:rsidR="00FF757E" w:rsidRDefault="00FF757E" w:rsidP="00FF757E">
    <w:pPr>
      <w:pStyle w:val="stBilgi"/>
      <w:jc w:val="center"/>
    </w:pPr>
    <w:r>
      <w:rPr>
        <w:noProof/>
        <w:lang w:val="tr-TR" w:eastAsia="tr-TR"/>
      </w:rPr>
      <w:drawing>
        <wp:inline distT="0" distB="0" distL="0" distR="0" wp14:anchorId="03866C49" wp14:editId="56F4EB62">
          <wp:extent cx="5116195" cy="694690"/>
          <wp:effectExtent l="0" t="0" r="8255" b="0"/>
          <wp:docPr id="1" name="Picture 2" descr="mhtml:file://C:\Users\sayed\Desktop\forms\awarding%20body%20program.mht!http://5c264db7c4f9414f/1CD858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html:file://C:\Users\sayed\Desktop\forms\awarding%20body%20program.mht!http://5c264db7c4f9414f/1CD8581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619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D9603B" w14:textId="77777777" w:rsidR="00FF757E" w:rsidRDefault="00FF757E">
    <w:pPr>
      <w:pStyle w:val="stBilgi"/>
    </w:pPr>
  </w:p>
  <w:p w14:paraId="364D7639" w14:textId="77777777" w:rsidR="00FF757E" w:rsidRDefault="00FF757E" w:rsidP="00FF757E">
    <w:pPr>
      <w:pStyle w:val="stBilgi"/>
      <w:jc w:val="center"/>
      <w:rPr>
        <w:rFonts w:eastAsia="Times New Roman" w:cs="Calibri"/>
        <w:color w:val="3F3F3F"/>
        <w:kern w:val="36"/>
        <w:sz w:val="44"/>
        <w:szCs w:val="44"/>
      </w:rPr>
    </w:pPr>
    <w:r>
      <w:rPr>
        <w:rFonts w:eastAsia="Times New Roman" w:cs="Calibri"/>
        <w:color w:val="3F3F3F"/>
        <w:kern w:val="36"/>
        <w:sz w:val="44"/>
        <w:szCs w:val="44"/>
      </w:rPr>
      <w:t>Awarding Body Program</w:t>
    </w:r>
  </w:p>
  <w:p w14:paraId="54BD4ACA" w14:textId="77777777" w:rsidR="00FF757E" w:rsidRDefault="00FF757E" w:rsidP="00FF757E">
    <w:pPr>
      <w:pStyle w:val="stBilgi"/>
      <w:jc w:val="center"/>
    </w:pPr>
    <w:r>
      <w:rPr>
        <w:rFonts w:eastAsia="Times New Roman" w:cs="Calibri"/>
        <w:color w:val="3F3F3F"/>
        <w:kern w:val="36"/>
        <w:sz w:val="44"/>
        <w:szCs w:val="44"/>
      </w:rPr>
      <w:t>(C)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631E5"/>
    <w:multiLevelType w:val="hybridMultilevel"/>
    <w:tmpl w:val="98A0A4CE"/>
    <w:lvl w:ilvl="0" w:tplc="ABDA45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45FE2"/>
    <w:multiLevelType w:val="hybridMultilevel"/>
    <w:tmpl w:val="63F2D9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213B1"/>
    <w:multiLevelType w:val="hybridMultilevel"/>
    <w:tmpl w:val="64D812AC"/>
    <w:lvl w:ilvl="0" w:tplc="ABDA45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B3"/>
    <w:rsid w:val="00006E3F"/>
    <w:rsid w:val="00014DF5"/>
    <w:rsid w:val="000252C5"/>
    <w:rsid w:val="00040F04"/>
    <w:rsid w:val="000623E8"/>
    <w:rsid w:val="000D1F39"/>
    <w:rsid w:val="000F7FBB"/>
    <w:rsid w:val="001349EE"/>
    <w:rsid w:val="00200983"/>
    <w:rsid w:val="00261ACD"/>
    <w:rsid w:val="00265142"/>
    <w:rsid w:val="002763CD"/>
    <w:rsid w:val="002C7D61"/>
    <w:rsid w:val="002F7F8A"/>
    <w:rsid w:val="00315FDC"/>
    <w:rsid w:val="00390946"/>
    <w:rsid w:val="003B42BE"/>
    <w:rsid w:val="00426A19"/>
    <w:rsid w:val="00452828"/>
    <w:rsid w:val="004665C5"/>
    <w:rsid w:val="004E135F"/>
    <w:rsid w:val="00501664"/>
    <w:rsid w:val="0052033A"/>
    <w:rsid w:val="00526D0C"/>
    <w:rsid w:val="00533D4B"/>
    <w:rsid w:val="00535C21"/>
    <w:rsid w:val="00546896"/>
    <w:rsid w:val="00562772"/>
    <w:rsid w:val="005708A6"/>
    <w:rsid w:val="005871BD"/>
    <w:rsid w:val="005E1D9B"/>
    <w:rsid w:val="005F2A0D"/>
    <w:rsid w:val="00661CEB"/>
    <w:rsid w:val="006A03B3"/>
    <w:rsid w:val="006C0B0F"/>
    <w:rsid w:val="0073409F"/>
    <w:rsid w:val="00742F23"/>
    <w:rsid w:val="0076795F"/>
    <w:rsid w:val="00785AA5"/>
    <w:rsid w:val="00795811"/>
    <w:rsid w:val="007A24EE"/>
    <w:rsid w:val="00814A83"/>
    <w:rsid w:val="00851CDC"/>
    <w:rsid w:val="00866224"/>
    <w:rsid w:val="008749BB"/>
    <w:rsid w:val="00892E18"/>
    <w:rsid w:val="008B5878"/>
    <w:rsid w:val="009028D7"/>
    <w:rsid w:val="0094540D"/>
    <w:rsid w:val="00953668"/>
    <w:rsid w:val="009C370F"/>
    <w:rsid w:val="00A23438"/>
    <w:rsid w:val="00A64DBA"/>
    <w:rsid w:val="00A660C7"/>
    <w:rsid w:val="00B76D0B"/>
    <w:rsid w:val="00B77867"/>
    <w:rsid w:val="00B91F6C"/>
    <w:rsid w:val="00B92080"/>
    <w:rsid w:val="00B9301A"/>
    <w:rsid w:val="00BB4FA3"/>
    <w:rsid w:val="00BB6BB8"/>
    <w:rsid w:val="00C02D04"/>
    <w:rsid w:val="00C16D1F"/>
    <w:rsid w:val="00C43BA0"/>
    <w:rsid w:val="00CE2479"/>
    <w:rsid w:val="00D17B7F"/>
    <w:rsid w:val="00D63D9D"/>
    <w:rsid w:val="00D746A0"/>
    <w:rsid w:val="00DB4D94"/>
    <w:rsid w:val="00E127AA"/>
    <w:rsid w:val="00E151AB"/>
    <w:rsid w:val="00E805D8"/>
    <w:rsid w:val="00E91D47"/>
    <w:rsid w:val="00EC2357"/>
    <w:rsid w:val="00F3503B"/>
    <w:rsid w:val="00F80584"/>
    <w:rsid w:val="00F94F66"/>
    <w:rsid w:val="00FF05C7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78E77"/>
  <w15:docId w15:val="{F0CF8296-F0E5-4628-BCCB-0422BE07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A03B3"/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03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03B3"/>
    <w:rPr>
      <w:rFonts w:ascii="Calibri" w:eastAsia="Calibri" w:hAnsi="Calibri" w:cs="Arial"/>
    </w:rPr>
  </w:style>
  <w:style w:type="paragraph" w:styleId="AltBilgi">
    <w:name w:val="footer"/>
    <w:basedOn w:val="Normal"/>
    <w:link w:val="AltBilgiChar"/>
    <w:uiPriority w:val="99"/>
    <w:semiHidden/>
    <w:unhideWhenUsed/>
    <w:rsid w:val="006A0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A03B3"/>
    <w:rPr>
      <w:rFonts w:ascii="Calibri" w:eastAsia="Calibri" w:hAnsi="Calibri" w:cs="Arial"/>
    </w:rPr>
  </w:style>
  <w:style w:type="table" w:styleId="TabloKlavuzu">
    <w:name w:val="Table Grid"/>
    <w:basedOn w:val="NormalTablo"/>
    <w:rsid w:val="0042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6A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tr-TR" w:eastAsia="tr-TR"/>
    </w:rPr>
  </w:style>
  <w:style w:type="paragraph" w:styleId="ListeParagraf">
    <w:name w:val="List Paragraph"/>
    <w:basedOn w:val="Normal"/>
    <w:uiPriority w:val="34"/>
    <w:qFormat/>
    <w:rsid w:val="00866224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526D0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2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6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60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849</Words>
  <Characters>4840</Characters>
  <Application>Microsoft Office Word</Application>
  <DocSecurity>0</DocSecurity>
  <Lines>40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TUEV AUSTRIA HOLDING AG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Layla</dc:creator>
  <cp:lastModifiedBy>Mustafa Şirin</cp:lastModifiedBy>
  <cp:revision>6</cp:revision>
  <dcterms:created xsi:type="dcterms:W3CDTF">2020-07-17T15:45:00Z</dcterms:created>
  <dcterms:modified xsi:type="dcterms:W3CDTF">2020-07-17T16:09:00Z</dcterms:modified>
</cp:coreProperties>
</file>